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vertAlign w:val="baseline"/>
        </w:rPr>
      </w:pPr>
      <w:r>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vertAlign w:val="baseline"/>
        </w:rPr>
        <w:t>《沈阳市科技创新平台专项实施细则》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vertAlign w:val="baseline"/>
          <w:lang w:eastAsia="zh-CN"/>
        </w:rPr>
      </w:pPr>
      <w:r>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vertAlign w:val="baseline"/>
        </w:rPr>
        <w:t>政策解读</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11"/>
          <w:rFonts w:hint="eastAsia" w:ascii="仿宋_GB2312" w:hAnsi="仿宋_GB2312" w:eastAsia="仿宋_GB2312" w:cs="仿宋_GB2312"/>
          <w:b w:val="0"/>
          <w:bCs w:val="0"/>
          <w:i w:val="0"/>
          <w:iCs w:val="0"/>
          <w:caps w:val="0"/>
          <w:color w:val="auto"/>
          <w:spacing w:val="0"/>
          <w:sz w:val="32"/>
          <w:szCs w:val="32"/>
          <w:shd w:val="clear" w:color="auto" w:fill="FFFFFF"/>
          <w:vertAlign w:val="baseline"/>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Style w:val="11"/>
          <w:rFonts w:hint="eastAsia" w:ascii="微软雅黑" w:hAnsi="微软雅黑" w:eastAsia="微软雅黑" w:cs="微软雅黑"/>
          <w:i w:val="0"/>
          <w:iCs w:val="0"/>
          <w:caps w:val="0"/>
          <w:color w:val="auto"/>
          <w:spacing w:val="0"/>
          <w:sz w:val="32"/>
          <w:szCs w:val="32"/>
          <w:highlight w:val="none"/>
          <w:shd w:val="clear" w:color="auto" w:fill="FFFFFF"/>
          <w:vertAlign w:val="baseline"/>
          <w:lang w:eastAsia="zh-CN"/>
        </w:rPr>
      </w:pPr>
      <w:r>
        <w:rPr>
          <w:rStyle w:val="11"/>
          <w:rFonts w:hint="eastAsia" w:ascii="黑体" w:hAnsi="黑体" w:eastAsia="黑体" w:cs="黑体"/>
          <w:i w:val="0"/>
          <w:iCs w:val="0"/>
          <w:caps w:val="0"/>
          <w:color w:val="auto"/>
          <w:spacing w:val="0"/>
          <w:sz w:val="32"/>
          <w:szCs w:val="32"/>
          <w:highlight w:val="none"/>
          <w:shd w:val="clear" w:color="auto" w:fill="FFFFFF"/>
          <w:vertAlign w:val="baseline"/>
          <w:lang w:eastAsia="zh-CN"/>
        </w:rPr>
        <w:t>一、</w:t>
      </w:r>
      <w:r>
        <w:rPr>
          <w:rStyle w:val="11"/>
          <w:rFonts w:hint="eastAsia" w:ascii="黑体" w:hAnsi="黑体" w:eastAsia="黑体" w:cs="黑体"/>
          <w:i w:val="0"/>
          <w:iCs w:val="0"/>
          <w:caps w:val="0"/>
          <w:color w:val="auto"/>
          <w:spacing w:val="0"/>
          <w:sz w:val="32"/>
          <w:szCs w:val="32"/>
          <w:highlight w:val="none"/>
          <w:shd w:val="clear" w:color="auto" w:fill="FFFFFF"/>
          <w:vertAlign w:val="baseline"/>
        </w:rPr>
        <w:t>形成背景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为贯彻落实《沈阳市人民政府关于印发沈阳市新发展阶段提升科技创新能力若干政策措施的通知》（沈政发〔2021〕11号）要求，以《沈阳市科学技术计划项目管理办法》（沈科发〔2022〕21号）、《沈阳市科技创新专项资金管理细则》（沈财企〔2022〕107号）为依据，制定本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Style w:val="11"/>
          <w:rFonts w:ascii="微软雅黑" w:hAnsi="微软雅黑" w:eastAsia="微软雅黑" w:cs="微软雅黑"/>
          <w:i w:val="0"/>
          <w:iCs w:val="0"/>
          <w:caps w:val="0"/>
          <w:color w:val="auto"/>
          <w:spacing w:val="0"/>
          <w:sz w:val="32"/>
          <w:szCs w:val="32"/>
          <w:highlight w:val="none"/>
          <w:shd w:val="clear" w:color="auto" w:fill="FFFFFF"/>
          <w:vertAlign w:val="baseline"/>
        </w:rPr>
      </w:pPr>
      <w:r>
        <w:rPr>
          <w:rStyle w:val="11"/>
          <w:rFonts w:hint="eastAsia" w:ascii="黑体" w:hAnsi="黑体" w:eastAsia="黑体" w:cs="黑体"/>
          <w:i w:val="0"/>
          <w:iCs w:val="0"/>
          <w:caps w:val="0"/>
          <w:color w:val="auto"/>
          <w:spacing w:val="0"/>
          <w:sz w:val="32"/>
          <w:szCs w:val="32"/>
          <w:highlight w:val="none"/>
          <w:shd w:val="clear" w:color="auto" w:fill="FFFFFF"/>
          <w:vertAlign w:val="baseline"/>
          <w:lang w:eastAsia="zh-CN"/>
        </w:rPr>
        <w:t>二、</w:t>
      </w:r>
      <w:r>
        <w:rPr>
          <w:rStyle w:val="11"/>
          <w:rFonts w:hint="eastAsia" w:ascii="黑体" w:hAnsi="黑体" w:eastAsia="黑体" w:cs="黑体"/>
          <w:i w:val="0"/>
          <w:iCs w:val="0"/>
          <w:caps w:val="0"/>
          <w:color w:val="auto"/>
          <w:spacing w:val="0"/>
          <w:sz w:val="32"/>
          <w:szCs w:val="32"/>
          <w:highlight w:val="none"/>
          <w:shd w:val="clear" w:color="auto" w:fill="FFFFFF"/>
          <w:vertAlign w:val="baseline"/>
        </w:rPr>
        <w:t>出台目的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Style w:val="11"/>
          <w:rFonts w:hint="default"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细则的出台实施旨在积极抢抓新一轮国家重大科技创新平台布局机遇，聚焦国家战略目标，以产业发展和创新链布局需求为牵引，坚持创新生态、创新平台、创新人才一体推进，着力打造一批高能级平台。</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640" w:firstLineChars="200"/>
        <w:jc w:val="both"/>
        <w:rPr>
          <w:rStyle w:val="11"/>
          <w:rFonts w:hint="eastAsia" w:ascii="黑体" w:hAnsi="黑体" w:eastAsia="黑体" w:cs="黑体"/>
          <w:i w:val="0"/>
          <w:color w:val="auto"/>
          <w:sz w:val="32"/>
          <w:szCs w:val="32"/>
          <w:highlight w:val="none"/>
          <w:shd w:val="clear" w:color="auto" w:fill="FFFFFF"/>
          <w:lang w:eastAsia="zh-CN"/>
        </w:rPr>
      </w:pPr>
      <w:r>
        <w:rPr>
          <w:rStyle w:val="11"/>
          <w:rFonts w:hint="eastAsia" w:ascii="黑体" w:hAnsi="黑体" w:eastAsia="黑体" w:cs="黑体"/>
          <w:i w:val="0"/>
          <w:color w:val="auto"/>
          <w:sz w:val="32"/>
          <w:szCs w:val="32"/>
          <w:highlight w:val="none"/>
          <w:shd w:val="clear" w:color="auto" w:fill="FFFFFF"/>
        </w:rPr>
        <w:t>三、主要</w:t>
      </w:r>
      <w:r>
        <w:rPr>
          <w:rStyle w:val="11"/>
          <w:rFonts w:hint="eastAsia" w:ascii="黑体" w:hAnsi="黑体" w:eastAsia="黑体" w:cs="黑体"/>
          <w:i w:val="0"/>
          <w:color w:val="auto"/>
          <w:sz w:val="32"/>
          <w:szCs w:val="32"/>
          <w:highlight w:val="none"/>
          <w:shd w:val="clear" w:color="auto" w:fill="FFFFFF"/>
          <w:lang w:eastAsia="zh-CN"/>
        </w:rPr>
        <w:t>内容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（一）新批建的国家级科技创新平台奖励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2" w:firstLineChars="200"/>
        <w:jc w:val="both"/>
        <w:textAlignment w:val="auto"/>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lang w:val="en-US" w:eastAsia="zh-CN"/>
        </w:rPr>
        <w:t>1.支持对象。</w:t>
      </w:r>
      <w: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科技部新批建的全国重点实验室、国家技术创新中心和国家临床医学研究中心的本地建设依托单位，国家发改委新认定的国家工程研究中心和国家企业技术中心的本地建设依托单位，国防科工局新批建的全国重点实验室的本地建设依托单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2" w:firstLineChars="200"/>
        <w:jc w:val="both"/>
        <w:textAlignment w:val="auto"/>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rPr>
        <w:t>2.</w:t>
      </w: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lang w:val="en-US" w:eastAsia="zh-CN"/>
        </w:rPr>
        <w:t>支持标准。</w:t>
      </w:r>
      <w: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对上年度新获批的国家级科技创新平台，每个给予最高500万元奖励。同一个国家级科技创新平台本地建设依托单位为2家或以上的，按照各单位协商确定的资金拨付单位和分配额度拨付奖励资金，总额最高500万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cente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lang w:val="en-US" w:eastAsia="zh-CN"/>
        </w:rPr>
        <w:t>3.支持方式。</w:t>
      </w:r>
      <w:r>
        <w:rPr>
          <w:rFonts w:hint="eastAsia" w:ascii="仿宋_GB2312" w:hAnsi="仿宋_GB2312" w:eastAsia="仿宋_GB2312" w:cs="仿宋_GB2312"/>
          <w:b w:val="0"/>
          <w:bCs w:val="0"/>
          <w:color w:val="auto"/>
          <w:spacing w:val="-4"/>
          <w:w w:val="100"/>
          <w:sz w:val="32"/>
          <w:szCs w:val="32"/>
          <w:lang w:val="en-US" w:eastAsia="zh-CN"/>
        </w:rPr>
        <w:t>采取以奖代补方式。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eastAsia="zh-CN"/>
        </w:rPr>
        <w:t>（二）</w:t>
      </w:r>
      <w:r>
        <w:rPr>
          <w:rFonts w:hint="eastAsia" w:ascii="楷体_GB2312" w:hAnsi="楷体_GB2312" w:eastAsia="楷体_GB2312" w:cs="楷体_GB2312"/>
          <w:b/>
          <w:bCs/>
          <w:color w:val="auto"/>
          <w:kern w:val="0"/>
          <w:sz w:val="32"/>
          <w:szCs w:val="32"/>
          <w:highlight w:val="none"/>
        </w:rPr>
        <w:t>科技创新平台绩效奖励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2" w:firstLineChars="200"/>
        <w:jc w:val="both"/>
        <w:textAlignment w:val="auto"/>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lang w:val="en-US" w:eastAsia="zh-CN"/>
        </w:rPr>
        <w:t>1.支持对象。</w:t>
      </w:r>
      <w: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 xml:space="preserve">由科技部、国家发改委、国防科工局批建（不含上年度新批建）的国家级重点实验室、工程技术研究中心（国家技术创新中心）、临床医学研究中心、工程研究中心（工程实验室）、企业技术中心的本地建设依托单位。由省科技厅、省发改委、省工信厅批建（包含上年度新批建）的省级重点实验室、技术创新中心、临床医学研究中心、工程研究中心（工程实验室）、企业技术中心的本地建设依托单位。由市科技局认定（包含上年度新认定）的市级重点实验室、技术创新中心、临床医学研究中心的本地建设依托单位。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cente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rPr>
        <w:t>2.</w:t>
      </w: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lang w:val="en-US" w:eastAsia="zh-CN"/>
        </w:rPr>
        <w:t>支持标准。</w:t>
      </w:r>
      <w: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对绩效评价结果85分及以上，且排名在参评平台总数前５%的平台，最高奖励100万元。对绩效评价结果85分及以上，且排名在参评平台总数前6-10%的平台，最高奖励50万元。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cente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lang w:val="en-US" w:eastAsia="zh-CN"/>
        </w:rPr>
        <w:t>3.支持方式。</w:t>
      </w:r>
      <w:r>
        <w:rPr>
          <w:rFonts w:hint="eastAsia" w:ascii="仿宋_GB2312" w:hAnsi="仿宋_GB2312" w:eastAsia="仿宋_GB2312" w:cs="仿宋_GB2312"/>
          <w:b w:val="0"/>
          <w:bCs w:val="0"/>
          <w:color w:val="auto"/>
          <w:spacing w:val="-4"/>
          <w:w w:val="100"/>
          <w:sz w:val="32"/>
          <w:szCs w:val="32"/>
          <w:lang w:val="en-US" w:eastAsia="zh-CN"/>
        </w:rPr>
        <w:t>采取以奖代补方式。</w:t>
      </w:r>
      <w:bookmarkStart w:id="0" w:name="_GoBack"/>
      <w:bookmarkEnd w:id="0"/>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2" w:firstLineChars="200"/>
        <w:jc w:val="both"/>
        <w:textAlignment w:val="auto"/>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lang w:val="en-US" w:eastAsia="zh-CN"/>
        </w:rPr>
        <w:t>4.评价内容。</w:t>
      </w:r>
      <w: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平台上年度的科技创新能力、本地成果转化情况、服务本地科技创新和产业发展情况等。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2" w:firstLineChars="200"/>
        <w:jc w:val="both"/>
        <w:textAlignment w:val="auto"/>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highlight w:val="none"/>
          <w:shd w:val="clear" w:color="auto" w:fill="FFFFFF"/>
          <w:vertAlign w:val="baseline"/>
          <w:lang w:val="en-US" w:eastAsia="zh-CN"/>
        </w:rPr>
        <w:t>5.组织流程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pPr>
      <w: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（1）项目申报：科技创新平台依托单位于沈阳市科技创新管理平台提交年度运行报告。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Style w:val="11"/>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r>
        <w:rPr>
          <w:rStyle w:val="11"/>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（2）项目评审：市科技局委托专家或第三方机构按照“分类评价”的方式，对科技创新平台上年度整体运行情况进行量化评分，根据评分结果和工作实际确定优秀平台及奖励等次。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Style w:val="11"/>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ODA4MmEyNGM3YTFlNGI4NjQ3ODdiOGIxZGY5ZGQifQ=="/>
  </w:docVars>
  <w:rsids>
    <w:rsidRoot w:val="00000000"/>
    <w:rsid w:val="085A1372"/>
    <w:rsid w:val="08BF3DCA"/>
    <w:rsid w:val="0FF77E05"/>
    <w:rsid w:val="1A3B2D0C"/>
    <w:rsid w:val="216D2C80"/>
    <w:rsid w:val="245C3B38"/>
    <w:rsid w:val="24D12F6E"/>
    <w:rsid w:val="2C621067"/>
    <w:rsid w:val="3D0A0F99"/>
    <w:rsid w:val="3E4F53BE"/>
    <w:rsid w:val="40543E45"/>
    <w:rsid w:val="405605BF"/>
    <w:rsid w:val="44D394C1"/>
    <w:rsid w:val="4B841A5B"/>
    <w:rsid w:val="4CBA6360"/>
    <w:rsid w:val="52227914"/>
    <w:rsid w:val="5914418B"/>
    <w:rsid w:val="5B79975D"/>
    <w:rsid w:val="5E4F13FA"/>
    <w:rsid w:val="5FFD90F4"/>
    <w:rsid w:val="697F2C1E"/>
    <w:rsid w:val="704E620A"/>
    <w:rsid w:val="737A178A"/>
    <w:rsid w:val="76533469"/>
    <w:rsid w:val="767106AF"/>
    <w:rsid w:val="777775D7"/>
    <w:rsid w:val="78AF7C5D"/>
    <w:rsid w:val="7CC77154"/>
    <w:rsid w:val="9BE8F551"/>
    <w:rsid w:val="9BFD3A43"/>
    <w:rsid w:val="B3FF2D8E"/>
    <w:rsid w:val="BEEE83CB"/>
    <w:rsid w:val="C74D04BA"/>
    <w:rsid w:val="CCFF0FD9"/>
    <w:rsid w:val="D77B7C9A"/>
    <w:rsid w:val="DEEF3E22"/>
    <w:rsid w:val="EFFE297B"/>
    <w:rsid w:val="F66B6BCA"/>
    <w:rsid w:val="F7F73BE5"/>
    <w:rsid w:val="FFDA7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left="0" w:leftChars="0" w:firstLine="56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adjustRightInd w:val="0"/>
      <w:spacing w:before="100" w:beforeLines="100" w:after="100" w:afterLines="100" w:line="240" w:lineRule="auto"/>
      <w:jc w:val="center"/>
      <w:outlineLvl w:val="0"/>
    </w:pPr>
    <w:rPr>
      <w:rFonts w:ascii="Times New Roman" w:hAnsi="Times New Roman" w:eastAsia="黑体"/>
      <w:sz w:val="44"/>
      <w:szCs w:val="44"/>
    </w:rPr>
  </w:style>
  <w:style w:type="paragraph" w:styleId="4">
    <w:name w:val="heading 2"/>
    <w:basedOn w:val="1"/>
    <w:next w:val="1"/>
    <w:link w:val="12"/>
    <w:unhideWhenUsed/>
    <w:qFormat/>
    <w:uiPriority w:val="0"/>
    <w:pPr>
      <w:keepNext/>
      <w:keepLines/>
      <w:adjustRightInd w:val="0"/>
      <w:spacing w:before="50" w:beforeLines="50" w:after="50" w:afterLines="50" w:line="240" w:lineRule="auto"/>
      <w:ind w:left="0" w:leftChars="0"/>
      <w:jc w:val="both"/>
      <w:outlineLvl w:val="1"/>
    </w:pPr>
    <w:rPr>
      <w:rFonts w:ascii="黑体" w:hAnsi="黑体" w:eastAsia="黑体"/>
      <w:bCs/>
      <w:kern w:val="0"/>
      <w:sz w:val="32"/>
      <w:szCs w:val="32"/>
    </w:rPr>
  </w:style>
  <w:style w:type="paragraph" w:styleId="5">
    <w:name w:val="heading 3"/>
    <w:basedOn w:val="1"/>
    <w:next w:val="1"/>
    <w:link w:val="13"/>
    <w:unhideWhenUsed/>
    <w:qFormat/>
    <w:uiPriority w:val="0"/>
    <w:pPr>
      <w:keepNext/>
      <w:keepLines/>
      <w:adjustRightInd w:val="0"/>
      <w:spacing w:before="50" w:beforeLines="50" w:after="50" w:afterLines="50" w:line="240" w:lineRule="auto"/>
      <w:ind w:left="0" w:leftChars="0"/>
      <w:jc w:val="left"/>
      <w:outlineLvl w:val="2"/>
    </w:pPr>
    <w:rPr>
      <w:rFonts w:ascii="黑体" w:hAnsi="黑体" w:eastAsia="黑体"/>
      <w:bCs/>
      <w:kern w:val="0"/>
      <w:sz w:val="28"/>
      <w:szCs w:val="28"/>
    </w:rPr>
  </w:style>
  <w:style w:type="paragraph" w:styleId="6">
    <w:name w:val="heading 4"/>
    <w:basedOn w:val="1"/>
    <w:next w:val="1"/>
    <w:link w:val="14"/>
    <w:unhideWhenUsed/>
    <w:qFormat/>
    <w:uiPriority w:val="0"/>
    <w:pPr>
      <w:keepNext/>
      <w:widowControl/>
      <w:adjustRightInd w:val="0"/>
      <w:spacing w:before="50" w:beforeLines="50" w:beforeAutospacing="0" w:after="50" w:afterLines="50" w:afterAutospacing="0" w:line="240" w:lineRule="auto"/>
      <w:ind w:left="0" w:leftChars="0"/>
      <w:jc w:val="both"/>
      <w:outlineLvl w:val="3"/>
    </w:pPr>
    <w:rPr>
      <w:rFonts w:eastAsia="黑体"/>
      <w:color w:val="000000"/>
      <w:kern w:val="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Block Text"/>
    <w:basedOn w:val="1"/>
    <w:qFormat/>
    <w:uiPriority w:val="0"/>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Emphasis"/>
    <w:basedOn w:val="10"/>
    <w:qFormat/>
    <w:uiPriority w:val="0"/>
    <w:rPr>
      <w:i/>
    </w:rPr>
  </w:style>
  <w:style w:type="character" w:customStyle="1" w:styleId="12">
    <w:name w:val="标题 2 Char"/>
    <w:link w:val="4"/>
    <w:qFormat/>
    <w:uiPriority w:val="0"/>
    <w:rPr>
      <w:rFonts w:ascii="黑体" w:hAnsi="黑体" w:eastAsia="黑体"/>
      <w:bCs/>
      <w:sz w:val="32"/>
      <w:szCs w:val="32"/>
    </w:rPr>
  </w:style>
  <w:style w:type="character" w:customStyle="1" w:styleId="13">
    <w:name w:val="标题 3 Char"/>
    <w:link w:val="5"/>
    <w:qFormat/>
    <w:uiPriority w:val="0"/>
    <w:rPr>
      <w:rFonts w:ascii="黑体" w:hAnsi="黑体" w:eastAsia="黑体"/>
      <w:bCs/>
      <w:sz w:val="28"/>
      <w:szCs w:val="28"/>
    </w:rPr>
  </w:style>
  <w:style w:type="character" w:customStyle="1" w:styleId="14">
    <w:name w:val="标题 4 Char"/>
    <w:link w:val="6"/>
    <w:qFormat/>
    <w:uiPriority w:val="0"/>
    <w:rPr>
      <w:rFonts w:ascii="Times New Roman" w:hAnsi="Times New Roman" w:eastAsia="黑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Words>
  <Characters>86</Characters>
  <Lines>0</Lines>
  <Paragraphs>0</Paragraphs>
  <TotalTime>0</TotalTime>
  <ScaleCrop>false</ScaleCrop>
  <LinksUpToDate>false</LinksUpToDate>
  <CharactersWithSpaces>87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2020-10-21T12:41:00Z</dcterms:created>
  <dc:creator>Administrator</dc:creator>
  <cp:lastModifiedBy>wangxue</cp:lastModifiedBy>
  <cp:lastPrinted>2021-07-02T14:11:00Z</cp:lastPrinted>
  <dcterms:modified xsi:type="dcterms:W3CDTF">2023-06-14T12:26:49Z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98363CA176514E07A00EE2F1BB55023E_13</vt:lpwstr>
  </property>
</Properties>
</file>