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级技术转移机构绩效评价指标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及权重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eastAsia="zh-CN"/>
        </w:rPr>
        <w:t>）</w:t>
      </w:r>
    </w:p>
    <w:tbl>
      <w:tblPr>
        <w:tblStyle w:val="2"/>
        <w:tblW w:w="46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034"/>
        <w:gridCol w:w="5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651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  <w:t>一级指标</w:t>
            </w:r>
          </w:p>
        </w:tc>
        <w:tc>
          <w:tcPr>
            <w:tcW w:w="3348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  <w:t>二级指标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81" w:type="pct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1.基础条件</w:t>
            </w:r>
          </w:p>
        </w:tc>
        <w:tc>
          <w:tcPr>
            <w:tcW w:w="669" w:type="pct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10%</w:t>
            </w:r>
          </w:p>
        </w:tc>
        <w:tc>
          <w:tcPr>
            <w:tcW w:w="3348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总人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81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669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348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技术经纪人数占总人数比例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81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669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348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专家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81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669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348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全年经费情况（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总收入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1" w:type="pct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2.服务绩效</w:t>
            </w:r>
          </w:p>
        </w:tc>
        <w:tc>
          <w:tcPr>
            <w:tcW w:w="669" w:type="pct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30%</w:t>
            </w:r>
          </w:p>
        </w:tc>
        <w:tc>
          <w:tcPr>
            <w:tcW w:w="3348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促成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认定登记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合同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项数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81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669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348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>促成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>认定登记技术合同成交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金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1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669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348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技术性收入占总收入比例</w:t>
            </w:r>
            <w:r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  <w:t>（A类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4"/>
                <w:szCs w:val="24"/>
              </w:rPr>
              <w:t>填写</w:t>
            </w:r>
            <w:r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81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669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348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利税总额占总收入比例</w:t>
            </w:r>
            <w:r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  <w:t>（A类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4"/>
                <w:szCs w:val="24"/>
              </w:rPr>
              <w:t>填写</w:t>
            </w:r>
            <w:r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81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669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348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服务企业数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81" w:type="pct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3.服务能力</w:t>
            </w:r>
          </w:p>
        </w:tc>
        <w:tc>
          <w:tcPr>
            <w:tcW w:w="669" w:type="pct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30%</w:t>
            </w:r>
          </w:p>
        </w:tc>
        <w:tc>
          <w:tcPr>
            <w:tcW w:w="3348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百人促成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认定登记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合同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项数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81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669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348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百人服务企业数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81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669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348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百人技术性收入</w:t>
            </w:r>
            <w:r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  <w:t>（A类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4"/>
                <w:szCs w:val="24"/>
              </w:rPr>
              <w:t>填写</w:t>
            </w:r>
            <w:r>
              <w:rPr>
                <w:rFonts w:ascii="Times New Roman" w:hAnsi="Times New Roman" w:eastAsia="仿宋_GB2312"/>
                <w:b/>
                <w:bCs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1" w:type="pct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4.规范管理</w:t>
            </w:r>
          </w:p>
          <w:p>
            <w:pPr>
              <w:autoSpaceDN w:val="0"/>
              <w:spacing w:line="270" w:lineRule="atLeas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669" w:type="pct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20%</w:t>
            </w:r>
          </w:p>
        </w:tc>
        <w:tc>
          <w:tcPr>
            <w:tcW w:w="3348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机构章程、内部管理制度和客户管理制度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1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669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348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专业数据库和信息化手段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1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669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348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区域或行业的示范带动作用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1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669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348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参与行业活动情况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1" w:type="pct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5.社会信誉</w:t>
            </w:r>
          </w:p>
        </w:tc>
        <w:tc>
          <w:tcPr>
            <w:tcW w:w="669" w:type="pct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10%</w:t>
            </w:r>
          </w:p>
        </w:tc>
        <w:tc>
          <w:tcPr>
            <w:tcW w:w="3348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诚信度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81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669" w:type="pct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3348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270" w:lineRule="atLeas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知名度和美誉度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7DEF956"/>
    <w:rsid w:val="9BFFFCF6"/>
    <w:rsid w:val="A7DEF956"/>
    <w:rsid w:val="BFFE3AB8"/>
    <w:rsid w:val="EBBF4628"/>
    <w:rsid w:val="F7AFFE04"/>
    <w:rsid w:val="F7FF22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425</Characters>
  <Lines>0</Lines>
  <Paragraphs>0</Paragraphs>
  <TotalTime>3</TotalTime>
  <ScaleCrop>false</ScaleCrop>
  <LinksUpToDate>false</LinksUpToDate>
  <CharactersWithSpaces>425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2022-03-05T14:39:00Z</dcterms:created>
  <dc:creator>chenxi</dc:creator>
  <cp:lastModifiedBy>chenxi</cp:lastModifiedBy>
  <dcterms:modified xsi:type="dcterms:W3CDTF">2023-06-26T10:11:20Z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